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_rels/chart6.xml.rels" ContentType="application/vnd.openxmlformats-package.relationships+xml"/>
  <Override PartName="/word/charts/_rels/chart5.xml.rels" ContentType="application/vnd.openxmlformats-package.relationships+xml"/>
  <Override PartName="/word/charts/_rels/chart4.xml.rels" ContentType="application/vnd.openxmlformats-package.relationships+xml"/>
  <Override PartName="/word/charts/_rels/chart3.xml.rels" ContentType="application/vnd.openxmlformats-package.relationships+xml"/>
  <Override PartName="/word/charts/_rels/chart2.xml.rels" ContentType="application/vnd.openxmlformats-package.relationships+xml"/>
  <Override PartName="/word/charts/_rels/chart1.xml.rels" ContentType="application/vnd.openxmlformats-package.relationship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embeddings/_____Microsoft_Excel4.xlsx" ContentType="application/vnd.openxmlformats-officedocument.spreadsheetml.sheet"/>
  <Override PartName="/word/embeddings/_____Microsoft_Excel3.xlsx" ContentType="application/vnd.openxmlformats-officedocument.spreadsheetml.sheet"/>
  <Override PartName="/word/embeddings/_____Microsoft_Excel2.xlsx" ContentType="application/vnd.openxmlformats-officedocument.spreadsheetml.sheet"/>
  <Override PartName="/word/embeddings/_____Microsoft_Excel1.xlsx" ContentType="application/vnd.openxmlformats-officedocument.spreadsheetml.sheet"/>
  <Override PartName="/word/embeddings/_____Microsoft_Excel.xlsx" ContentType="application/vnd.openxmlformats-officedocument.spreadsheetml.sheet"/>
  <Override PartName="/word/embeddings/_____Microsoft_Excel5.xlsx" ContentType="application/vnd.openxmlformats-officedocument.spreadsheetml.sheet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lang w:val="ru-RU"/>
        </w:rPr>
      </w:pPr>
      <w:r>
        <w:rPr>
          <w:b/>
          <w:bCs/>
          <w:sz w:val="32"/>
          <w:szCs w:val="32"/>
          <w:lang w:val="ru-RU"/>
        </w:rPr>
        <w:t>Диспансеризация 1 квартал  202</w:t>
      </w:r>
      <w:r>
        <w:rPr>
          <w:b/>
          <w:bCs/>
          <w:sz w:val="32"/>
          <w:szCs w:val="32"/>
          <w:lang w:val="ru-RU"/>
        </w:rPr>
        <w:t>5</w:t>
      </w:r>
      <w:r>
        <w:rPr>
          <w:b/>
          <w:bCs/>
          <w:sz w:val="32"/>
          <w:szCs w:val="32"/>
          <w:lang w:val="ru-RU"/>
        </w:rPr>
        <w:t xml:space="preserve"> год</w:t>
      </w:r>
    </w:p>
    <w:p>
      <w:pPr>
        <w:pStyle w:val="Normal"/>
        <w:jc w:val="center"/>
        <w:rPr>
          <w:b/>
          <w:bCs/>
          <w:lang w:val="ru-RU"/>
        </w:rPr>
      </w:pPr>
      <w:r>
        <w:rPr>
          <w:b/>
          <w:bCs/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  <w:t>Информация о результатах проведения профилактического медицинского осмотра и диспансеризации определенных групп взрослого населения в ГУЗ «Задонская ЦРБ»</w:t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  <w:t>по итогам 1 квартала 202</w:t>
      </w:r>
      <w:r>
        <w:rPr>
          <w:lang w:val="ru-RU"/>
        </w:rPr>
        <w:t>5</w:t>
      </w:r>
      <w:r>
        <w:rPr>
          <w:lang w:val="ru-RU"/>
        </w:rPr>
        <w:t>г</w:t>
      </w:r>
      <w:r>
        <w:rPr/>
        <w:drawing>
          <wp:inline distT="0" distB="0" distL="0" distR="0">
            <wp:extent cx="5485130" cy="3199130"/>
            <wp:effectExtent l="0" t="0" r="0" b="0"/>
            <wp:docPr id="1" name="Диаграмма 1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"/>
              </a:graphicData>
            </a:graphic>
          </wp:inline>
        </w:drawing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  <w:t>Процент выполнения плана по диспансеризации взрослого населения- 1</w:t>
      </w:r>
      <w:r>
        <w:rPr>
          <w:lang w:val="ru-RU"/>
        </w:rPr>
        <w:t>30</w:t>
      </w:r>
      <w:r>
        <w:rPr>
          <w:lang w:val="ru-RU"/>
        </w:rPr>
        <w:t>%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b/>
          <w:bCs/>
          <w:lang w:val="ru-RU"/>
        </w:rPr>
        <w:t>Выполнение плана по профилактическим медицинским осмотром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/>
        <w:drawing>
          <wp:inline distT="0" distB="0" distL="0" distR="0">
            <wp:extent cx="5485130" cy="3199130"/>
            <wp:effectExtent l="0" t="0" r="0" b="0"/>
            <wp:docPr id="2" name="Диаграмма 2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"/>
              </a:graphicData>
            </a:graphic>
          </wp:inline>
        </w:drawing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b/>
          <w:bCs/>
          <w:lang w:val="ru-RU"/>
        </w:rPr>
        <w:t>Процент выполнения плана по профилактическим медицинским осмотрам-</w:t>
      </w:r>
      <w:r>
        <w:rPr>
          <w:lang w:val="ru-RU"/>
        </w:rPr>
        <w:t>1</w:t>
      </w:r>
      <w:r>
        <w:rPr>
          <w:lang w:val="ru-RU"/>
        </w:rPr>
        <w:t>95</w:t>
      </w:r>
      <w:r>
        <w:rPr>
          <w:lang w:val="ru-RU"/>
        </w:rPr>
        <w:t>%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b/>
          <w:bCs/>
          <w:lang w:val="ru-RU"/>
        </w:rPr>
        <w:t>Гендерная структура осмотренных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/>
        <w:drawing>
          <wp:inline distT="0" distB="0" distL="0" distR="0">
            <wp:extent cx="5485130" cy="3199130"/>
            <wp:effectExtent l="0" t="0" r="0" b="0"/>
            <wp:docPr id="3" name="Диаграмма 3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  <w:t>В гендерной структуре при проведении  профилактического осмотра преобладали мужчины.</w:t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/>
        <w:drawing>
          <wp:inline distT="0" distB="0" distL="0" distR="0">
            <wp:extent cx="5485130" cy="3199130"/>
            <wp:effectExtent l="0" t="0" r="0" b="0"/>
            <wp:docPr id="4" name="Диаграмма 4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  <w:t>В гендерной структуре при проведении  диспансеризации  преобладали  женщины.</w:t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b/>
          <w:bCs/>
          <w:lang w:val="ru-RU"/>
        </w:rPr>
        <w:t>Структура по</w:t>
      </w:r>
      <w:bookmarkStart w:id="0" w:name="_GoBack"/>
      <w:bookmarkEnd w:id="0"/>
      <w:r>
        <w:rPr>
          <w:b/>
          <w:bCs/>
          <w:lang w:val="ru-RU"/>
        </w:rPr>
        <w:t xml:space="preserve"> возрасту и полу лиц, прошедших диспансеризацию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/>
        <w:drawing>
          <wp:inline distT="0" distB="0" distL="0" distR="0">
            <wp:extent cx="5485130" cy="3199130"/>
            <wp:effectExtent l="0" t="0" r="0" b="0"/>
            <wp:docPr id="5" name="Диаграмма 5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  <w:t>В возрастной структуре преобладают женщины и лица старше 40 лет.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b/>
          <w:bCs/>
          <w:lang w:val="ru-RU"/>
        </w:rPr>
        <w:t>Общие итоги диспансеризации и профилактического медицинского осмотра</w:t>
      </w:r>
    </w:p>
    <w:p>
      <w:pPr>
        <w:pStyle w:val="Normal"/>
        <w:jc w:val="center"/>
        <w:rPr/>
      </w:pPr>
      <w:r>
        <w:rPr>
          <w:b/>
          <w:bCs/>
          <w:lang w:val="ru-RU"/>
        </w:rPr>
        <w:t>(группы здоровья)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/>
        <w:drawing>
          <wp:inline distT="0" distB="0" distL="0" distR="0">
            <wp:extent cx="5485130" cy="3199130"/>
            <wp:effectExtent l="0" t="0" r="0" b="0"/>
            <wp:docPr id="6" name="Диаграмма 6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/>
      </w:r>
    </w:p>
    <w:tbl>
      <w:tblPr>
        <w:tblW w:w="9309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noHBand="0" w:noVBand="0" w:firstColumn="0" w:lastRow="0" w:lastColumn="0" w:firstRow="0"/>
      </w:tblPr>
      <w:tblGrid>
        <w:gridCol w:w="4654"/>
        <w:gridCol w:w="4654"/>
      </w:tblGrid>
      <w:tr>
        <w:trPr>
          <w:trHeight w:val="246" w:hRule="atLeast"/>
        </w:trPr>
        <w:tc>
          <w:tcPr>
            <w:tcW w:w="4654" w:type="dxa"/>
            <w:tcBorders/>
            <w:shd w:color="auto" w:fill="auto" w:val="clear"/>
          </w:tcPr>
          <w:p>
            <w:pPr>
              <w:pStyle w:val="Normal"/>
              <w:widowControl w:val="false"/>
              <w:suppressLineNumbers/>
              <w:rPr/>
            </w:pPr>
            <w:r>
              <w:rPr>
                <w:lang w:val="ru-RU"/>
              </w:rPr>
              <w:t>Группа здоровья</w:t>
            </w:r>
          </w:p>
        </w:tc>
        <w:tc>
          <w:tcPr>
            <w:tcW w:w="4654" w:type="dxa"/>
            <w:tcBorders/>
            <w:shd w:color="auto" w:fill="auto" w:val="clear"/>
          </w:tcPr>
          <w:p>
            <w:pPr>
              <w:pStyle w:val="Normal"/>
              <w:widowControl w:val="false"/>
              <w:suppressLineNumbers/>
              <w:rPr/>
            </w:pPr>
            <w:r>
              <w:rPr/>
              <w:t xml:space="preserve"> </w:t>
            </w:r>
            <w:r>
              <w:rPr/>
              <w:t xml:space="preserve">1 </w:t>
            </w:r>
            <w:r>
              <w:rPr>
                <w:lang w:val="ru-RU"/>
              </w:rPr>
              <w:t>квартал 202</w:t>
            </w:r>
            <w:r>
              <w:rPr>
                <w:lang w:val="ru-RU"/>
              </w:rPr>
              <w:t>5</w:t>
            </w:r>
            <w:r>
              <w:rPr>
                <w:lang w:val="ru-RU"/>
              </w:rPr>
              <w:t>г.</w:t>
            </w:r>
          </w:p>
        </w:tc>
      </w:tr>
      <w:tr>
        <w:trPr>
          <w:trHeight w:val="246" w:hRule="atLeast"/>
        </w:trPr>
        <w:tc>
          <w:tcPr>
            <w:tcW w:w="4654" w:type="dxa"/>
            <w:tcBorders/>
            <w:shd w:color="auto" w:fill="auto" w:val="clear"/>
          </w:tcPr>
          <w:p>
            <w:pPr>
              <w:pStyle w:val="Normal"/>
              <w:widowControl w:val="false"/>
              <w:suppressLineNumbers/>
              <w:rPr/>
            </w:pPr>
            <w:r>
              <w:rPr/>
              <w:t xml:space="preserve">1 </w:t>
            </w:r>
            <w:r>
              <w:rPr>
                <w:lang w:val="ru-RU"/>
              </w:rPr>
              <w:t>группа</w:t>
            </w:r>
          </w:p>
        </w:tc>
        <w:tc>
          <w:tcPr>
            <w:tcW w:w="4654" w:type="dxa"/>
            <w:tcBorders/>
            <w:shd w:color="auto" w:fill="auto" w:val="clear"/>
          </w:tcPr>
          <w:p>
            <w:pPr>
              <w:pStyle w:val="Normal"/>
              <w:widowControl w:val="false"/>
              <w:suppressLineNumbers/>
              <w:rPr/>
            </w:pPr>
            <w:r>
              <w:rPr>
                <w:lang w:val="ru-RU"/>
              </w:rPr>
              <w:t>30</w:t>
            </w:r>
            <w:r>
              <w:rPr/>
              <w:t>%</w:t>
            </w:r>
          </w:p>
        </w:tc>
      </w:tr>
      <w:tr>
        <w:trPr>
          <w:trHeight w:val="232" w:hRule="atLeast"/>
        </w:trPr>
        <w:tc>
          <w:tcPr>
            <w:tcW w:w="4654" w:type="dxa"/>
            <w:tcBorders/>
            <w:shd w:color="auto" w:fill="auto" w:val="clear"/>
          </w:tcPr>
          <w:p>
            <w:pPr>
              <w:pStyle w:val="Normal"/>
              <w:widowControl w:val="false"/>
              <w:suppressLineNumbers/>
              <w:rPr/>
            </w:pPr>
            <w:r>
              <w:rPr/>
              <w:t xml:space="preserve">2 </w:t>
            </w:r>
            <w:r>
              <w:rPr>
                <w:lang w:val="ru-RU"/>
              </w:rPr>
              <w:t>группа</w:t>
            </w:r>
          </w:p>
        </w:tc>
        <w:tc>
          <w:tcPr>
            <w:tcW w:w="4654" w:type="dxa"/>
            <w:tcBorders/>
            <w:shd w:color="auto" w:fill="auto" w:val="clear"/>
          </w:tcPr>
          <w:p>
            <w:pPr>
              <w:pStyle w:val="Normal"/>
              <w:widowControl w:val="false"/>
              <w:suppressLineNumbers/>
              <w:rPr/>
            </w:pPr>
            <w:r>
              <w:rPr>
                <w:lang w:val="ru-RU"/>
              </w:rPr>
              <w:t>14</w:t>
            </w:r>
            <w:r>
              <w:rPr/>
              <w:t>%</w:t>
            </w:r>
          </w:p>
        </w:tc>
      </w:tr>
      <w:tr>
        <w:trPr>
          <w:trHeight w:val="246" w:hRule="atLeast"/>
        </w:trPr>
        <w:tc>
          <w:tcPr>
            <w:tcW w:w="4654" w:type="dxa"/>
            <w:tcBorders/>
            <w:shd w:color="auto" w:fill="auto" w:val="clear"/>
          </w:tcPr>
          <w:p>
            <w:pPr>
              <w:pStyle w:val="Normal"/>
              <w:widowControl w:val="false"/>
              <w:suppressLineNumbers/>
              <w:rPr/>
            </w:pPr>
            <w:r>
              <w:rPr/>
              <w:t xml:space="preserve">3 </w:t>
            </w:r>
            <w:r>
              <w:rPr>
                <w:lang w:val="ru-RU"/>
              </w:rPr>
              <w:t>группа</w:t>
            </w:r>
          </w:p>
        </w:tc>
        <w:tc>
          <w:tcPr>
            <w:tcW w:w="4654" w:type="dxa"/>
            <w:tcBorders/>
            <w:shd w:color="auto" w:fill="auto" w:val="clear"/>
          </w:tcPr>
          <w:p>
            <w:pPr>
              <w:pStyle w:val="Normal"/>
              <w:widowControl w:val="false"/>
              <w:suppressLineNumbers/>
              <w:rPr/>
            </w:pPr>
            <w:r>
              <w:rPr>
                <w:lang w:val="ru-RU"/>
              </w:rPr>
              <w:t>56</w:t>
            </w:r>
            <w:r>
              <w:rPr/>
              <w:t>%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lang w:val="ru-RU"/>
        </w:rPr>
      </w:pPr>
      <w:r>
        <w:rPr>
          <w:lang w:val="ru-RU"/>
        </w:rPr>
        <w:t>Выводы среди групп здоровья превалирует 3 группа, это связано с возрастным составом прикрепленного населения, страдающим хроническим заболеванием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Liberation Serif">
    <w:altName w:val="Times New Roman"/>
    <w:charset w:val="01"/>
    <w:family w:val="roman"/>
    <w:pitch w:val="variable"/>
  </w:font>
  <w:font w:name="Open Sans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e7004"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hart" Target="charts/chart1.xml"/><Relationship Id="rId3" Type="http://schemas.openxmlformats.org/officeDocument/2006/relationships/chart" Target="charts/chart2.xml"/><Relationship Id="rId4" Type="http://schemas.openxmlformats.org/officeDocument/2006/relationships/chart" Target="charts/chart3.xml"/><Relationship Id="rId5" Type="http://schemas.openxmlformats.org/officeDocument/2006/relationships/chart" Target="charts/chart4.xml"/><Relationship Id="rId6" Type="http://schemas.openxmlformats.org/officeDocument/2006/relationships/chart" Target="charts/chart5.xml"/><Relationship Id="rId7" Type="http://schemas.openxmlformats.org/officeDocument/2006/relationships/chart" Target="charts/chart6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charts/_rels/chart1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.xlsx"/>
</Relationships>
</file>

<file path=word/charts/_rels/chart2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1.xlsx"/>
</Relationships>
</file>

<file path=word/charts/_rels/chart3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2.xlsx"/>
</Relationships>
</file>

<file path=word/charts/_rels/chart4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3.xlsx"/>
</Relationships>
</file>

<file path=word/charts/_rels/chart5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4.xlsx"/>
</Relationships>
</file>

<file path=word/charts/_rels/chart6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5.xlsx"/>
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sz="1400" spc="-1" strike="noStrike">
                <a:solidFill>
                  <a:srgbClr val="595959"/>
                </a:solidFill>
                <a:latin typeface="Calibri"/>
              </a:defRPr>
            </a:pPr>
            <a:r>
              <a:rPr b="0" sz="1400" spc="-1" strike="noStrike">
                <a:solidFill>
                  <a:srgbClr val="595959"/>
                </a:solidFill>
                <a:latin typeface="Calibri"/>
              </a:rPr>
              <a:t>1 квартал 2025г</a:t>
            </a:r>
          </a:p>
        </c:rich>
      </c:tx>
      <c:overlay val="0"/>
      <c:spPr>
        <a:noFill/>
        <a:ln w="0">
          <a:noFill/>
        </a:ln>
      </c:spPr>
    </c:title>
    <c:autoTitleDeleted val="0"/>
    <c:plotArea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1 квартал 2025г</c:v>
                </c:pt>
              </c:strCache>
            </c:strRef>
          </c:tx>
          <c:spPr>
            <a:solidFill>
              <a:srgbClr val="5b9bd5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0" sz="900" spc="-1" strike="noStrike">
                    <a:solidFill>
                      <a:srgbClr val="40404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2"/>
                <c:pt idx="0">
                  <c:v>подлежало</c:v>
                </c:pt>
                <c:pt idx="1">
                  <c:v>осмотрено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2"/>
                <c:pt idx="0">
                  <c:v>3390</c:v>
                </c:pt>
                <c:pt idx="1">
                  <c:v>4411</c:v>
                </c:pt>
              </c:numCache>
            </c:numRef>
          </c:val>
        </c:ser>
        <c:gapWidth val="219"/>
        <c:overlap val="-27"/>
        <c:axId val="8299010"/>
        <c:axId val="879912"/>
      </c:barChart>
      <c:catAx>
        <c:axId val="829901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879912"/>
        <c:crosses val="autoZero"/>
        <c:auto val="1"/>
        <c:lblAlgn val="ctr"/>
        <c:lblOffset val="100"/>
        <c:noMultiLvlLbl val="0"/>
      </c:catAx>
      <c:valAx>
        <c:axId val="879912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8299010"/>
        <c:crosses val="autoZero"/>
        <c:crossBetween val="between"/>
      </c:valAx>
      <c:spPr>
        <a:noFill/>
        <a:ln w="0">
          <a:noFill/>
        </a:ln>
      </c:spPr>
    </c:plotArea>
    <c:legend>
      <c:legendPos val="b"/>
      <c:overlay val="0"/>
      <c:spPr>
        <a:noFill/>
        <a:ln w="0">
          <a:noFill/>
        </a:ln>
      </c:spPr>
      <c:txPr>
        <a:bodyPr/>
        <a:lstStyle/>
        <a:p>
          <a:pPr>
            <a:defRPr b="0" sz="900" spc="-1" strike="noStrike">
              <a:solidFill>
                <a:srgbClr val="595959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sz="1400" spc="-1" strike="noStrike">
                <a:solidFill>
                  <a:srgbClr val="595959"/>
                </a:solidFill>
                <a:latin typeface="Calibri"/>
              </a:defRPr>
            </a:pPr>
            <a:r>
              <a:rPr b="0" sz="1400" spc="-1" strike="noStrike">
                <a:solidFill>
                  <a:srgbClr val="595959"/>
                </a:solidFill>
                <a:latin typeface="Calibri"/>
              </a:rPr>
              <a:t>1 квартал 2025г</a:t>
            </a:r>
          </a:p>
        </c:rich>
      </c:tx>
      <c:overlay val="0"/>
      <c:spPr>
        <a:noFill/>
        <a:ln w="0">
          <a:noFill/>
        </a:ln>
      </c:spPr>
    </c:title>
    <c:autoTitleDeleted val="0"/>
    <c:plotArea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1 квартал 2025г</c:v>
                </c:pt>
              </c:strCache>
            </c:strRef>
          </c:tx>
          <c:spPr>
            <a:solidFill>
              <a:srgbClr val="5b9bd5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0" sz="900" spc="-1" strike="noStrike">
                    <a:solidFill>
                      <a:srgbClr val="40404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2"/>
                <c:pt idx="0">
                  <c:v>подлежало</c:v>
                </c:pt>
                <c:pt idx="1">
                  <c:v>осмотрено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2"/>
                <c:pt idx="0">
                  <c:v>627</c:v>
                </c:pt>
                <c:pt idx="1">
                  <c:v>1225</c:v>
                </c:pt>
              </c:numCache>
            </c:numRef>
          </c:val>
        </c:ser>
        <c:gapWidth val="219"/>
        <c:overlap val="-27"/>
        <c:axId val="47636495"/>
        <c:axId val="71819407"/>
      </c:barChart>
      <c:catAx>
        <c:axId val="47636495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71819407"/>
        <c:crosses val="autoZero"/>
        <c:auto val="1"/>
        <c:lblAlgn val="ctr"/>
        <c:lblOffset val="100"/>
        <c:noMultiLvlLbl val="0"/>
      </c:catAx>
      <c:valAx>
        <c:axId val="71819407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47636495"/>
        <c:crosses val="autoZero"/>
        <c:crossBetween val="between"/>
      </c:valAx>
      <c:spPr>
        <a:noFill/>
        <a:ln w="0">
          <a:noFill/>
        </a:ln>
      </c:spPr>
    </c:plotArea>
    <c:legend>
      <c:legendPos val="b"/>
      <c:overlay val="0"/>
      <c:spPr>
        <a:noFill/>
        <a:ln w="0">
          <a:noFill/>
        </a:ln>
      </c:spPr>
      <c:txPr>
        <a:bodyPr/>
        <a:lstStyle/>
        <a:p>
          <a:pPr>
            <a:defRPr b="0" sz="900" spc="-1" strike="noStrike">
              <a:solidFill>
                <a:srgbClr val="595959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sz="1400" spc="-1" strike="noStrike">
                <a:solidFill>
                  <a:srgbClr val="595959"/>
                </a:solidFill>
                <a:latin typeface="Calibri"/>
              </a:defRPr>
            </a:pPr>
            <a:r>
              <a:rPr b="0" sz="1400" spc="-1" strike="noStrike">
                <a:solidFill>
                  <a:srgbClr val="595959"/>
                </a:solidFill>
                <a:latin typeface="Calibri"/>
              </a:rPr>
              <a:t>1 квартал 2025г</a:t>
            </a:r>
          </a:p>
        </c:rich>
      </c:tx>
      <c:overlay val="0"/>
      <c:spPr>
        <a:noFill/>
        <a:ln w="0">
          <a:noFill/>
        </a:ln>
      </c:spPr>
    </c:title>
    <c:autoTitleDeleted val="0"/>
    <c:plotArea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1 квартал 2025г</c:v>
                </c:pt>
              </c:strCache>
            </c:strRef>
          </c:tx>
          <c:spPr>
            <a:solidFill>
              <a:srgbClr val="5b9bd5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0" sz="900" spc="-1" strike="noStrike">
                    <a:solidFill>
                      <a:srgbClr val="40404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2"/>
                <c:pt idx="0">
                  <c:v>мужчин</c:v>
                </c:pt>
                <c:pt idx="1">
                  <c:v>женщин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2"/>
                <c:pt idx="0">
                  <c:v>705</c:v>
                </c:pt>
                <c:pt idx="1">
                  <c:v>520</c:v>
                </c:pt>
              </c:numCache>
            </c:numRef>
          </c:val>
        </c:ser>
        <c:gapWidth val="219"/>
        <c:overlap val="-27"/>
        <c:axId val="92487752"/>
        <c:axId val="34886670"/>
      </c:barChart>
      <c:catAx>
        <c:axId val="924877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34886670"/>
        <c:crosses val="autoZero"/>
        <c:auto val="1"/>
        <c:lblAlgn val="ctr"/>
        <c:lblOffset val="100"/>
        <c:noMultiLvlLbl val="0"/>
      </c:catAx>
      <c:valAx>
        <c:axId val="34886670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92487752"/>
        <c:crosses val="autoZero"/>
        <c:crossBetween val="between"/>
      </c:valAx>
      <c:spPr>
        <a:noFill/>
        <a:ln w="0">
          <a:noFill/>
        </a:ln>
      </c:spPr>
    </c:plotArea>
    <c:legend>
      <c:legendPos val="b"/>
      <c:overlay val="0"/>
      <c:spPr>
        <a:noFill/>
        <a:ln w="0">
          <a:noFill/>
        </a:ln>
      </c:spPr>
      <c:txPr>
        <a:bodyPr/>
        <a:lstStyle/>
        <a:p>
          <a:pPr>
            <a:defRPr b="0" sz="900" spc="-1" strike="noStrike">
              <a:solidFill>
                <a:srgbClr val="595959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sz="1400" spc="-1" strike="noStrike">
                <a:solidFill>
                  <a:srgbClr val="595959"/>
                </a:solidFill>
                <a:latin typeface="Calibri"/>
              </a:defRPr>
            </a:pPr>
            <a:r>
              <a:rPr b="0" sz="1400" spc="-1" strike="noStrike">
                <a:solidFill>
                  <a:srgbClr val="595959"/>
                </a:solidFill>
                <a:latin typeface="Calibri"/>
              </a:rPr>
              <a:t>1 квартал 2025г</a:t>
            </a:r>
          </a:p>
        </c:rich>
      </c:tx>
      <c:overlay val="0"/>
      <c:spPr>
        <a:noFill/>
        <a:ln w="0">
          <a:noFill/>
        </a:ln>
      </c:spPr>
    </c:title>
    <c:autoTitleDeleted val="0"/>
    <c:plotArea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1 квартал 2025г</c:v>
                </c:pt>
              </c:strCache>
            </c:strRef>
          </c:tx>
          <c:spPr>
            <a:solidFill>
              <a:srgbClr val="5b9bd5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0" sz="900" spc="-1" strike="noStrike">
                    <a:solidFill>
                      <a:srgbClr val="40404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2"/>
                <c:pt idx="0">
                  <c:v>мужчин</c:v>
                </c:pt>
                <c:pt idx="1">
                  <c:v>женщин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2"/>
                <c:pt idx="0">
                  <c:v>2139</c:v>
                </c:pt>
                <c:pt idx="1">
                  <c:v>2272</c:v>
                </c:pt>
              </c:numCache>
            </c:numRef>
          </c:val>
        </c:ser>
        <c:gapWidth val="219"/>
        <c:overlap val="-27"/>
        <c:axId val="80898033"/>
        <c:axId val="19325956"/>
      </c:barChart>
      <c:catAx>
        <c:axId val="80898033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19325956"/>
        <c:crosses val="autoZero"/>
        <c:auto val="1"/>
        <c:lblAlgn val="ctr"/>
        <c:lblOffset val="100"/>
        <c:noMultiLvlLbl val="0"/>
      </c:catAx>
      <c:valAx>
        <c:axId val="19325956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80898033"/>
        <c:crosses val="autoZero"/>
        <c:crossBetween val="between"/>
      </c:valAx>
      <c:spPr>
        <a:noFill/>
        <a:ln w="0">
          <a:noFill/>
        </a:ln>
      </c:spPr>
    </c:plotArea>
    <c:legend>
      <c:legendPos val="b"/>
      <c:overlay val="0"/>
      <c:spPr>
        <a:noFill/>
        <a:ln w="0">
          <a:noFill/>
        </a:ln>
      </c:spPr>
      <c:txPr>
        <a:bodyPr/>
        <a:lstStyle/>
        <a:p>
          <a:pPr>
            <a:defRPr b="0" sz="900" spc="-1" strike="noStrike">
              <a:solidFill>
                <a:srgbClr val="595959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sz="1400" spc="-1" strike="noStrike">
                <a:solidFill>
                  <a:srgbClr val="595959"/>
                </a:solidFill>
                <a:latin typeface="Calibri"/>
              </a:defRPr>
            </a:pPr>
            <a:r>
              <a:rPr b="0" sz="1400" spc="-1" strike="noStrike">
                <a:solidFill>
                  <a:srgbClr val="595959"/>
                </a:solidFill>
                <a:latin typeface="Calibri"/>
              </a:rPr>
              <a:t>Заглавие диаграммы</a:t>
            </a:r>
          </a:p>
        </c:rich>
      </c:tx>
      <c:overlay val="0"/>
      <c:spPr>
        <a:noFill/>
        <a:ln w="0">
          <a:noFill/>
        </a:ln>
      </c:spPr>
    </c:title>
    <c:autoTitleDeleted val="0"/>
    <c:plotArea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18-34</c:v>
                </c:pt>
              </c:strCache>
            </c:strRef>
          </c:tx>
          <c:spPr>
            <a:solidFill>
              <a:srgbClr val="5b9bd5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0" sz="900" spc="-1" strike="noStrike">
                    <a:solidFill>
                      <a:srgbClr val="40404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2"/>
                <c:pt idx="0">
                  <c:v>250</c:v>
                </c:pt>
                <c:pt idx="1">
                  <c:v>106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35-39</c:v>
                </c:pt>
              </c:strCache>
            </c:strRef>
          </c:tx>
          <c:spPr>
            <a:solidFill>
              <a:srgbClr val="ed7d31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0" sz="900" spc="-1" strike="noStrike">
                    <a:solidFill>
                      <a:srgbClr val="40404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2"/>
                <c:pt idx="0">
                  <c:v>130</c:v>
                </c:pt>
                <c:pt idx="1">
                  <c:v>94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40-50</c:v>
                </c:pt>
              </c:strCache>
            </c:strRef>
          </c:tx>
          <c:spPr>
            <a:solidFill>
              <a:srgbClr val="a5a5a5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0" sz="900" spc="-1" strike="noStrike">
                    <a:solidFill>
                      <a:srgbClr val="40404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2"/>
                <c:pt idx="0">
                  <c:v>536</c:v>
                </c:pt>
                <c:pt idx="1">
                  <c:v>483</c:v>
                </c:pt>
              </c:numCache>
            </c:numRef>
          </c:val>
        </c:ser>
        <c:ser>
          <c:idx val="3"/>
          <c:order val="3"/>
          <c:tx>
            <c:strRef>
              <c:f>label 3</c:f>
              <c:strCache>
                <c:ptCount val="1"/>
                <c:pt idx="0">
                  <c:v>55-59</c:v>
                </c:pt>
              </c:strCache>
            </c:strRef>
          </c:tx>
          <c:spPr>
            <a:solidFill>
              <a:srgbClr val="ffc000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0" sz="900" spc="-1" strike="noStrike">
                    <a:solidFill>
                      <a:srgbClr val="40404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3</c:f>
              <c:numCache>
                <c:formatCode>General</c:formatCode>
                <c:ptCount val="2"/>
                <c:pt idx="0">
                  <c:v>244</c:v>
                </c:pt>
                <c:pt idx="1">
                  <c:v>286</c:v>
                </c:pt>
              </c:numCache>
            </c:numRef>
          </c:val>
        </c:ser>
        <c:ser>
          <c:idx val="4"/>
          <c:order val="4"/>
          <c:tx>
            <c:strRef>
              <c:f>label 4</c:f>
              <c:strCache>
                <c:ptCount val="1"/>
                <c:pt idx="0">
                  <c:v>60-64</c:v>
                </c:pt>
              </c:strCache>
            </c:strRef>
          </c:tx>
          <c:spPr>
            <a:solidFill>
              <a:srgbClr val="4472c4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0" sz="900" spc="-1" strike="noStrike">
                    <a:solidFill>
                      <a:srgbClr val="40404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4</c:f>
              <c:numCache>
                <c:formatCode>General</c:formatCode>
                <c:ptCount val="2"/>
                <c:pt idx="0">
                  <c:v>282</c:v>
                </c:pt>
                <c:pt idx="1">
                  <c:v>338</c:v>
                </c:pt>
              </c:numCache>
            </c:numRef>
          </c:val>
        </c:ser>
        <c:ser>
          <c:idx val="5"/>
          <c:order val="5"/>
          <c:tx>
            <c:strRef>
              <c:f>label 5</c:f>
              <c:strCache>
                <c:ptCount val="1"/>
                <c:pt idx="0">
                  <c:v>65-74</c:v>
                </c:pt>
              </c:strCache>
            </c:strRef>
          </c:tx>
          <c:spPr>
            <a:solidFill>
              <a:srgbClr val="70ad47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0" sz="900" spc="-1" strike="noStrike">
                    <a:solidFill>
                      <a:srgbClr val="40404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5</c:f>
              <c:numCache>
                <c:formatCode>General</c:formatCode>
                <c:ptCount val="2"/>
                <c:pt idx="0">
                  <c:v>508</c:v>
                </c:pt>
                <c:pt idx="1">
                  <c:v>611</c:v>
                </c:pt>
              </c:numCache>
            </c:numRef>
          </c:val>
        </c:ser>
        <c:ser>
          <c:idx val="6"/>
          <c:order val="6"/>
          <c:tx>
            <c:strRef>
              <c:f>label 6</c:f>
              <c:strCache>
                <c:ptCount val="1"/>
                <c:pt idx="0">
                  <c:v>75 и старше </c:v>
                </c:pt>
              </c:strCache>
            </c:strRef>
          </c:tx>
          <c:spPr>
            <a:solidFill>
              <a:srgbClr val="255e91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0" sz="900" spc="-1" strike="noStrike">
                    <a:solidFill>
                      <a:srgbClr val="40404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6</c:f>
              <c:numCache>
                <c:formatCode>General</c:formatCode>
                <c:ptCount val="2"/>
                <c:pt idx="0">
                  <c:v>189</c:v>
                </c:pt>
                <c:pt idx="1">
                  <c:v>354</c:v>
                </c:pt>
              </c:numCache>
            </c:numRef>
          </c:val>
        </c:ser>
        <c:gapWidth val="219"/>
        <c:overlap val="-27"/>
        <c:axId val="52239003"/>
        <c:axId val="28249374"/>
      </c:barChart>
      <c:catAx>
        <c:axId val="52239003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28249374"/>
        <c:crosses val="autoZero"/>
        <c:auto val="1"/>
        <c:lblAlgn val="ctr"/>
        <c:lblOffset val="100"/>
        <c:noMultiLvlLbl val="0"/>
      </c:catAx>
      <c:valAx>
        <c:axId val="28249374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52239003"/>
        <c:crosses val="autoZero"/>
        <c:crossBetween val="between"/>
      </c:valAx>
      <c:spPr>
        <a:noFill/>
        <a:ln w="0">
          <a:noFill/>
        </a:ln>
      </c:spPr>
    </c:plotArea>
    <c:legend>
      <c:legendPos val="b"/>
      <c:overlay val="0"/>
      <c:spPr>
        <a:noFill/>
        <a:ln w="0">
          <a:noFill/>
        </a:ln>
      </c:spPr>
      <c:txPr>
        <a:bodyPr/>
        <a:lstStyle/>
        <a:p>
          <a:pPr>
            <a:defRPr b="0" sz="900" spc="-1" strike="noStrike">
              <a:solidFill>
                <a:srgbClr val="595959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0" lang="ru-RU" sz="1400" spc="-1" strike="noStrike">
                <a:solidFill>
                  <a:srgbClr val="595959"/>
                </a:solidFill>
                <a:latin typeface="Calibri"/>
              </a:defRPr>
            </a:pPr>
            <a:r>
              <a:rPr b="0" lang="ru-RU" sz="1400" spc="-1" strike="noStrike">
                <a:solidFill>
                  <a:srgbClr val="595959"/>
                </a:solidFill>
                <a:latin typeface="Calibri"/>
              </a:rPr>
              <a:t>группы здоровья </a:t>
            </a:r>
          </a:p>
        </c:rich>
      </c:tx>
      <c:overlay val="0"/>
      <c:spPr>
        <a:noFill/>
        <a:ln w="0">
          <a:noFill/>
        </a:ln>
      </c:spPr>
    </c:title>
    <c:autoTitleDeleted val="0"/>
    <c:plotArea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1 группа</c:v>
                </c:pt>
              </c:strCache>
            </c:strRef>
          </c:tx>
          <c:spPr>
            <a:solidFill>
              <a:srgbClr val="5b9bd5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0" sz="900" spc="-1" strike="noStrike">
                    <a:solidFill>
                      <a:srgbClr val="40404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1"/>
                <c:pt idx="0">
                  <c:v>1 квартал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1"/>
                <c:pt idx="0">
                  <c:v>1713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2 группа</c:v>
                </c:pt>
              </c:strCache>
            </c:strRef>
          </c:tx>
          <c:spPr>
            <a:solidFill>
              <a:srgbClr val="ed7d31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0" sz="900" spc="-1" strike="noStrike">
                    <a:solidFill>
                      <a:srgbClr val="40404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1"/>
                <c:pt idx="0">
                  <c:v>1 квартал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1"/>
                <c:pt idx="0">
                  <c:v>815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3а группа</c:v>
                </c:pt>
              </c:strCache>
            </c:strRef>
          </c:tx>
          <c:spPr>
            <a:solidFill>
              <a:srgbClr val="a5a5a5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0" sz="900" spc="-1" strike="noStrike">
                    <a:solidFill>
                      <a:srgbClr val="40404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1"/>
                <c:pt idx="0">
                  <c:v>1 квартал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1"/>
                <c:pt idx="0">
                  <c:v>2513</c:v>
                </c:pt>
              </c:numCache>
            </c:numRef>
          </c:val>
        </c:ser>
        <c:ser>
          <c:idx val="3"/>
          <c:order val="3"/>
          <c:tx>
            <c:strRef>
              <c:f>label 3</c:f>
              <c:strCache>
                <c:ptCount val="1"/>
                <c:pt idx="0">
                  <c:v>3б группа</c:v>
                </c:pt>
              </c:strCache>
            </c:strRef>
          </c:tx>
          <c:spPr>
            <a:solidFill>
              <a:srgbClr val="ffc000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0" sz="900" spc="-1" strike="noStrike">
                    <a:solidFill>
                      <a:srgbClr val="40404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1"/>
                <c:pt idx="0">
                  <c:v>1 квартал</c:v>
                </c:pt>
              </c:strCache>
            </c:strRef>
          </c:cat>
          <c:val>
            <c:numRef>
              <c:f>3</c:f>
              <c:numCache>
                <c:formatCode>General</c:formatCode>
                <c:ptCount val="1"/>
                <c:pt idx="0">
                  <c:v>595</c:v>
                </c:pt>
              </c:numCache>
            </c:numRef>
          </c:val>
        </c:ser>
        <c:gapWidth val="219"/>
        <c:overlap val="-27"/>
        <c:axId val="93903104"/>
        <c:axId val="94786159"/>
      </c:barChart>
      <c:catAx>
        <c:axId val="9390310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94786159"/>
        <c:crosses val="autoZero"/>
        <c:auto val="1"/>
        <c:lblAlgn val="ctr"/>
        <c:lblOffset val="100"/>
        <c:noMultiLvlLbl val="0"/>
      </c:catAx>
      <c:valAx>
        <c:axId val="94786159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6480">
            <a:noFill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93903104"/>
        <c:crosses val="autoZero"/>
        <c:crossBetween val="between"/>
      </c:valAx>
      <c:spPr>
        <a:noFill/>
        <a:ln w="0">
          <a:noFill/>
        </a:ln>
      </c:spPr>
    </c:plotArea>
    <c:legend>
      <c:legendPos val="b"/>
      <c:overlay val="0"/>
      <c:spPr>
        <a:noFill/>
        <a:ln w="0">
          <a:noFill/>
        </a:ln>
      </c:spPr>
      <c:txPr>
        <a:bodyPr/>
        <a:lstStyle/>
        <a:p>
          <a:pPr>
            <a:defRPr b="0" sz="900" spc="-1" strike="noStrike">
              <a:solidFill>
                <a:srgbClr val="595959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LibreOffice/7.6.7.2$Linux_X86_64 LibreOffice_project/60$Build-2</Application>
  <AppVersion>15.0000</AppVersion>
  <Pages>4</Pages>
  <Words>126</Words>
  <Characters>909</Characters>
  <CharactersWithSpaces>1019</CharactersWithSpaces>
  <Paragraphs>27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2024-04-15T16:41:00Z</dcterms:created>
  <dc:creator>евросеть</dc:creator>
  <dc:description/>
  <dc:language>ru-RU</dc:language>
  <cp:lastModifiedBy/>
  <cp:lastPrinted>2025-04-03T12:38:25Z</cp:lastPrinted>
  <dcterms:modified xsi:type="dcterms:W3CDTF">2025-04-03T12:38:28Z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