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2" w:rsidRPr="00D17082" w:rsidRDefault="00D17082" w:rsidP="00D1708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67FBF"/>
          <w:kern w:val="36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67FBF"/>
          <w:kern w:val="36"/>
          <w:sz w:val="20"/>
          <w:szCs w:val="20"/>
          <w:lang w:eastAsia="ru-RU"/>
        </w:rPr>
        <w:t>Гипертоническая болезнь – эпидемия XXI века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часто Вы измеряете артериальное давление?</w:t>
      </w:r>
    </w:p>
    <w:p w:rsidR="00D17082" w:rsidRPr="00071BB4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Знаете ли Вы о том, что повышенный уровень артериального давления (артериальная гипертензия) является </w:t>
      </w:r>
      <w:proofErr w:type="spellStart"/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является</w:t>
      </w:r>
      <w:proofErr w:type="spellEnd"/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важнейшим фактором риска основных сердечно-сосудистых заболеваний – инфаркта миокарда и мозгового инсульта, главным образом определяющих высокую смертность в нашей стране? 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аспространенность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гипертонической болезни среди населения состав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ляет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40,8% (у мужчин 36,6%, у женщин 42,9%). Осведомленность пациентов о наличии заболевания составляет 83,9–87,1%. Принимают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антигипертензивные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препараты 69,5% больных артериальной гипертензией, из них эффективно лечатся 27,3%, а контролируют артериальное давление на целевом уровне 23,2% пациентов.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Артериальная гипертензия — это стойкое повышение артериального давления (систолического 140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мм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.р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т.ст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и/или диастолического 90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мм.рт.ст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.), зарегистрированное не менее чем при 2-х врачебных осмотрах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зависимости от причин возникновения все случаи артериальной гипертензии (АГ) делят на две группы: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Первичная (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эссенциальная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идиопатическая) АГ (гипертоническая болезнь).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Вторичные (симптоматические) АГ.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Симптоматические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(вторичные) АГ не являются самостоятельными заболеваниями. Их рассматривают лишь как одно из проявлений другой патологии, например, заболеваний почек (пиелонефрита,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гломерулонефрита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стеноза почечных артерий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)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эндокринной системы (гипертиреоза, ожирения), сосудистой патологии (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коарктации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аорты, атеросклероза аорты ).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Таким образом, в случае симптоматических АГ причина повышения артериального давления (АД) всегда известна.</w:t>
      </w:r>
      <w:proofErr w:type="gramEnd"/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эссенциальной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(первичной) АГ относят те случаи заболевания, когда невозможно установить связь между повышением АД и той или иной органной патологией, предшествующей возникновению АГ. На долю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эссенциальной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АГ приходится около 90–95% случаев хронического повышения уровня АД.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настоящее время хорошо изучены неблагоприятные факторы (факторы риска), предрасполагающие к развитию гипертонической болезни.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Наследственная предрасположенность. Доказано, что лица,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родители которых страдают гипертонической болезнью, имеют более высокий риск развития этого заболевания и более высокую смертность от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сердечно-сосудистых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болезней.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Ограничение физической активности (гиподинамия). Эта важнейшая особенность современного образа жизни большинства жителей экономически развитых стран приводит к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детренированности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организма и резкому снижению адаптационных возможностей не только мышечной системы, но и систем кровообращения и дыхания.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этих условиях повседневные жизненные ситуации (умеренная физическая нагрузка, психоэмоциональное напряжение) вызывают чрезмерный (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гиперреактивный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ответ в виде учащенного сердцебиения, повышения АД и других неадекватных реакций, происходящих на системном, органном и клеточном уровнях.</w:t>
      </w:r>
      <w:proofErr w:type="gramEnd"/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Ожирение способствует существенному (в 2–6 раз) увеличению риска развития артериальной гипертензии. Существует линейная зависимость уровня АД от массы тела, что объясняется, прежде всего, частотой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выявления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 ожирении так называемого метаболического синдрома, лежащего в основе выраженных нарушений эндотелиальной функции, когда в местной регуляции сосудистого тонуса начинают преобладать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прессорные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стимулы, что и приводит к прогрессирующему повышению АД.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Избыточное потребление поваренной соли в некоторых случаях имеет решающее значение в происхождении гипертонической болезни. Доказано, что для взрослого человека адекватное поступление соли составляет 3,5–4,0 г в сутки. Однако в экономически развитых странах, для которых характерна высокая заболеваемость АГ, реальное потребление соли в настоящее время составляет 6–18 г в сутки. В противоположность этому, у представителей некоторых народностей и племен, до сих пор ведущих изолированный от внешнего мира образ жизни (аборигены Новой Гвинеи и Полинезийских островов, эскимосы Аляски), потребление соли не превышает 4 г в сутки, а повышение АД встречается крайне редко.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Чрезмерное потребление алкоголя приводит к уменьшению чувствительности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барорецепторов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аорты и синокаротидной зоны, в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связи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чем нарушается центральная регуляция АД.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Нарушение липидного обмена способствует структурн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о-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функциональным изменениям артерий большого круга кровообращения (атеросклероз) и стабилизации повышенных цифр АД.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Курение также оказывает определенное влияние на уровень АД, прежде всего благодаря повреждению функции сосудистой стенки и активации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вазоконстрикторных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эндотелиальных факторов.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Возраст относится к числу важнейших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немодифицируемых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факторов риска артериальной гипертензии. С возрастом снижается функциональная активность большинства регуляторных систем, обеспечивающих оптимальный уровень АД.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К числу наиболее характерных для гипертонической болезни 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осложнений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относятся: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гипертрофия (утолщение) стенок артерий мышечного типа, которая не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только суживает просвет сосуда, но и увеличивает ригидность сосудистой стенки, что приводит к повышению общего периферического сосудистого сопротивления;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атеросклероз артерий с образованием атеросклеротических бляшек, сужением просвета сосуда и значительным нарушением регионарного кровообращения.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гипертрофией миокарда левого желудочка;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развитием сердечной недостаточности;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клиническими и инструментальными признаками коронарного атеросклероза (ишемической болезни сердца).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6.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нефросклероз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—п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ервично сморщенная почка; снижается функция почек и развивается хроническая почечная недостаточность.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гипертоническая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дисциркуляторная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энцефалопатия;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тромбозы церебральных артерий с развитием ишемических инсультов;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9.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разрывы артериальных сосудов с кровоизлиянием в ткань мозга и оболочки головного мозга (геморрагические инсульты).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Основной целью лечения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артериальной гипертензии является максимальное снижение риска развития осложнений и смертности больных.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Это достигается путем длительной терапии, направленной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снижение повышенного уровня АД до оптимальных значений;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«защиту» органов-мишеней, по меньшей </w:t>
      </w:r>
      <w:proofErr w:type="gram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мере</w:t>
      </w:r>
      <w:proofErr w:type="gram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предупреждающую их дальнейшее повреждение;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</w:t>
      </w: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активное воздействие на неблагоприятные факторы риска, способствующие прогрессированию артериальной гипертензии и развитию ее осложнений (ожирение, </w:t>
      </w:r>
      <w:proofErr w:type="spellStart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гиперлипидемия</w:t>
      </w:r>
      <w:proofErr w:type="spellEnd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нарушения углеводного обмена, курение, избыточное потребление соли).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Путь длиной в тысячу километров начинается с одного шага! Будьте здоровы!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D1708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Врач-</w:t>
      </w: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терапевт</w:t>
      </w:r>
      <w:r w:rsidR="00071BB4"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заведующая терапевтическим отделением поликлиники</w:t>
      </w:r>
    </w:p>
    <w:p w:rsidR="00D17082" w:rsidRPr="00D17082" w:rsidRDefault="00D17082" w:rsidP="00D1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ГУЗ «Задонская ЦРБ»</w:t>
      </w:r>
    </w:p>
    <w:p w:rsidR="00D17082" w:rsidRPr="00071BB4" w:rsidRDefault="00D17082" w:rsidP="00071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Инна Николаевна </w:t>
      </w:r>
      <w:proofErr w:type="spellStart"/>
      <w:r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Гулина</w:t>
      </w:r>
      <w:proofErr w:type="spellEnd"/>
      <w:r w:rsidR="00071BB4" w:rsidRPr="00071B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sectPr w:rsidR="00D17082" w:rsidRPr="00071BB4" w:rsidSect="00071B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2"/>
    <w:rsid w:val="00071BB4"/>
    <w:rsid w:val="00D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2021-05-16T17:15:00Z</dcterms:created>
  <dcterms:modified xsi:type="dcterms:W3CDTF">2021-05-16T17:27:00Z</dcterms:modified>
</cp:coreProperties>
</file>